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brochure-comercial---plataforma-studio"/>
    <w:p>
      <w:pPr>
        <w:pStyle w:val="Heading1"/>
      </w:pPr>
      <w:r>
        <w:t xml:space="preserve">Brochure Comercial - Plataforma Studio</w:t>
      </w:r>
    </w:p>
    <w:bookmarkStart w:id="20" w:name="qué-es-studio"/>
    <w:p>
      <w:pPr>
        <w:pStyle w:val="Heading2"/>
      </w:pPr>
      <w:r>
        <w:t xml:space="preserve">1) Qué es Studio</w:t>
      </w:r>
    </w:p>
    <w:p>
      <w:pPr>
        <w:pStyle w:val="FirstParagraph"/>
      </w:pPr>
      <w:r>
        <w:t xml:space="preserve">Studio es la plataforma de autoría académica de OpenCCB para diseñar, publicar y administrar cursos de alta fidelidad. Está orientada a instituciones educativas, equipos académicos y docentes que necesitan construir experiencias de aprendizaje interactivas sin fricción técnica.</w:t>
      </w:r>
    </w:p>
    <w:bookmarkEnd w:id="20"/>
    <w:bookmarkStart w:id="21" w:name="propuesta-de-valor"/>
    <w:p>
      <w:pPr>
        <w:pStyle w:val="Heading2"/>
      </w:pPr>
      <w:r>
        <w:t xml:space="preserve">2) Propuesta de valor</w:t>
      </w:r>
    </w:p>
    <w:p>
      <w:pPr>
        <w:pStyle w:val="Compact"/>
        <w:numPr>
          <w:ilvl w:val="0"/>
          <w:numId w:val="1001"/>
        </w:numPr>
      </w:pPr>
      <w:r>
        <w:t xml:space="preserve">Diseño instruccional en un entorno moderno y visual.</w:t>
      </w:r>
    </w:p>
    <w:p>
      <w:pPr>
        <w:pStyle w:val="Compact"/>
        <w:numPr>
          <w:ilvl w:val="0"/>
          <w:numId w:val="1001"/>
        </w:numPr>
      </w:pPr>
      <w:r>
        <w:t xml:space="preserve">Creación de lecciones modulares con bloques interactivos.</w:t>
      </w:r>
    </w:p>
    <w:p>
      <w:pPr>
        <w:pStyle w:val="Compact"/>
        <w:numPr>
          <w:ilvl w:val="0"/>
          <w:numId w:val="1001"/>
        </w:numPr>
      </w:pPr>
      <w:r>
        <w:t xml:space="preserve">Banco de preguntas reutilizable para evaluaciones.</w:t>
      </w:r>
    </w:p>
    <w:p>
      <w:pPr>
        <w:pStyle w:val="Compact"/>
        <w:numPr>
          <w:ilvl w:val="0"/>
          <w:numId w:val="1001"/>
        </w:numPr>
      </w:pPr>
      <w:r>
        <w:t xml:space="preserve">Gestión de usuarios, cursos y configuraciones institucionales.</w:t>
      </w:r>
    </w:p>
    <w:p>
      <w:pPr>
        <w:pStyle w:val="Compact"/>
        <w:numPr>
          <w:ilvl w:val="0"/>
          <w:numId w:val="1001"/>
        </w:numPr>
      </w:pPr>
      <w:r>
        <w:t xml:space="preserve">Integración con LMS Experience para consumo de contenidos por estudiantes.</w:t>
      </w:r>
    </w:p>
    <w:bookmarkEnd w:id="21"/>
    <w:bookmarkStart w:id="22" w:name="capacidades-principales"/>
    <w:p>
      <w:pPr>
        <w:pStyle w:val="Heading2"/>
      </w:pPr>
      <w:r>
        <w:t xml:space="preserve">3) Capacidades principales</w:t>
      </w:r>
    </w:p>
    <w:p>
      <w:pPr>
        <w:pStyle w:val="Compact"/>
        <w:numPr>
          <w:ilvl w:val="0"/>
          <w:numId w:val="1002"/>
        </w:numPr>
      </w:pPr>
      <w:r>
        <w:t xml:space="preserve">Gestión de cursos: creación, edición, estructura por módulos y lecciones.</w:t>
      </w:r>
    </w:p>
    <w:p>
      <w:pPr>
        <w:pStyle w:val="Compact"/>
        <w:numPr>
          <w:ilvl w:val="0"/>
          <w:numId w:val="1002"/>
        </w:numPr>
      </w:pPr>
      <w:r>
        <w:t xml:space="preserve">Constructor de lecciones: bloques de texto, multimedia, quiz, respuestas cortas, ordenamiento, matching, hotspot, audio-response, peer review, role-playing y mermaid.</w:t>
      </w:r>
    </w:p>
    <w:p>
      <w:pPr>
        <w:pStyle w:val="Compact"/>
        <w:numPr>
          <w:ilvl w:val="0"/>
          <w:numId w:val="1002"/>
        </w:numPr>
      </w:pPr>
      <w:r>
        <w:t xml:space="preserve">Plantillas: plantillas de curso y de pruebas para estandarizar procesos.</w:t>
      </w:r>
    </w:p>
    <w:p>
      <w:pPr>
        <w:pStyle w:val="Compact"/>
        <w:numPr>
          <w:ilvl w:val="0"/>
          <w:numId w:val="1002"/>
        </w:numPr>
      </w:pPr>
      <w:r>
        <w:t xml:space="preserve">Biblioteca de assets: administración y reutilización de recursos multimedia.</w:t>
      </w:r>
    </w:p>
    <w:p>
      <w:pPr>
        <w:pStyle w:val="Compact"/>
        <w:numPr>
          <w:ilvl w:val="0"/>
          <w:numId w:val="1002"/>
        </w:numPr>
      </w:pPr>
      <w:r>
        <w:t xml:space="preserve">Banco de preguntas: catálogo de preguntas filtrable por tipo y dificultad.</w:t>
      </w:r>
    </w:p>
    <w:p>
      <w:pPr>
        <w:pStyle w:val="Compact"/>
        <w:numPr>
          <w:ilvl w:val="0"/>
          <w:numId w:val="1002"/>
        </w:numPr>
      </w:pPr>
      <w:r>
        <w:t xml:space="preserve">Analítica y seguimiento: soporte para revisión de progreso y evaluaciones.</w:t>
      </w:r>
    </w:p>
    <w:p>
      <w:pPr>
        <w:pStyle w:val="Compact"/>
        <w:numPr>
          <w:ilvl w:val="0"/>
          <w:numId w:val="1002"/>
        </w:numPr>
      </w:pPr>
      <w:r>
        <w:t xml:space="preserve">Branding institucional: logo, favicon y colores de marca.</w:t>
      </w:r>
    </w:p>
    <w:bookmarkEnd w:id="22"/>
    <w:bookmarkStart w:id="23" w:name="beneficios-para-la-institución"/>
    <w:p>
      <w:pPr>
        <w:pStyle w:val="Heading2"/>
      </w:pPr>
      <w:r>
        <w:t xml:space="preserve">4) Beneficios para la institución</w:t>
      </w:r>
    </w:p>
    <w:p>
      <w:pPr>
        <w:pStyle w:val="Compact"/>
        <w:numPr>
          <w:ilvl w:val="0"/>
          <w:numId w:val="1003"/>
        </w:numPr>
      </w:pPr>
      <w:r>
        <w:t xml:space="preserve">Reduce tiempos de producción académica.</w:t>
      </w:r>
    </w:p>
    <w:p>
      <w:pPr>
        <w:pStyle w:val="Compact"/>
        <w:numPr>
          <w:ilvl w:val="0"/>
          <w:numId w:val="1003"/>
        </w:numPr>
      </w:pPr>
      <w:r>
        <w:t xml:space="preserve">Estandariza calidad de contenidos.</w:t>
      </w:r>
    </w:p>
    <w:p>
      <w:pPr>
        <w:pStyle w:val="Compact"/>
        <w:numPr>
          <w:ilvl w:val="0"/>
          <w:numId w:val="1003"/>
        </w:numPr>
      </w:pPr>
      <w:r>
        <w:t xml:space="preserve">Facilita colaboración entre docentes y equipos de diseño instruccional.</w:t>
      </w:r>
    </w:p>
    <w:p>
      <w:pPr>
        <w:pStyle w:val="Compact"/>
        <w:numPr>
          <w:ilvl w:val="0"/>
          <w:numId w:val="1003"/>
        </w:numPr>
      </w:pPr>
      <w:r>
        <w:t xml:space="preserve">Mejora la trazabilidad de evaluaciones y resultados.</w:t>
      </w:r>
    </w:p>
    <w:p>
      <w:pPr>
        <w:pStyle w:val="Compact"/>
        <w:numPr>
          <w:ilvl w:val="0"/>
          <w:numId w:val="1003"/>
        </w:numPr>
      </w:pPr>
      <w:r>
        <w:t xml:space="preserve">Acelera despliegues de nuevos programas y cursos.</w:t>
      </w:r>
    </w:p>
    <w:bookmarkEnd w:id="23"/>
    <w:bookmarkStart w:id="24" w:name="flujo-recomendado-de-uso"/>
    <w:p>
      <w:pPr>
        <w:pStyle w:val="Heading2"/>
      </w:pPr>
      <w:r>
        <w:t xml:space="preserve">5) Flujo recomendado de uso</w:t>
      </w:r>
    </w:p>
    <w:p>
      <w:pPr>
        <w:pStyle w:val="Compact"/>
        <w:numPr>
          <w:ilvl w:val="0"/>
          <w:numId w:val="1004"/>
        </w:numPr>
      </w:pPr>
      <w:r>
        <w:t xml:space="preserve">Configurar branding institucional.</w:t>
      </w:r>
    </w:p>
    <w:p>
      <w:pPr>
        <w:pStyle w:val="Compact"/>
        <w:numPr>
          <w:ilvl w:val="0"/>
          <w:numId w:val="1004"/>
        </w:numPr>
      </w:pPr>
      <w:r>
        <w:t xml:space="preserve">Crear curso y definir módulos.</w:t>
      </w:r>
    </w:p>
    <w:p>
      <w:pPr>
        <w:pStyle w:val="Compact"/>
        <w:numPr>
          <w:ilvl w:val="0"/>
          <w:numId w:val="1004"/>
        </w:numPr>
      </w:pPr>
      <w:r>
        <w:t xml:space="preserve">Diseñar lecciones con bloques interactivos.</w:t>
      </w:r>
    </w:p>
    <w:p>
      <w:pPr>
        <w:pStyle w:val="Compact"/>
        <w:numPr>
          <w:ilvl w:val="0"/>
          <w:numId w:val="1004"/>
        </w:numPr>
      </w:pPr>
      <w:r>
        <w:t xml:space="preserve">Configurar evaluaciones y rúbricas.</w:t>
      </w:r>
    </w:p>
    <w:p>
      <w:pPr>
        <w:pStyle w:val="Compact"/>
        <w:numPr>
          <w:ilvl w:val="0"/>
          <w:numId w:val="1004"/>
        </w:numPr>
      </w:pPr>
      <w:r>
        <w:t xml:space="preserve">Publicar y monitorear desempeño.</w:t>
      </w:r>
    </w:p>
    <w:bookmarkEnd w:id="24"/>
    <w:bookmarkStart w:id="46" w:name="capturas-sugeridas-fotos"/>
    <w:p>
      <w:pPr>
        <w:pStyle w:val="Heading2"/>
      </w:pPr>
      <w:r>
        <w:t xml:space="preserve">6) Capturas sugeridas (fotos)</w:t>
      </w:r>
    </w:p>
    <w:p>
      <w:pPr>
        <w:pStyle w:val="FirstParagraph"/>
      </w:pPr>
      <w:r>
        <w:t xml:space="preserve">Pantalla de acceso</w:t>
      </w:r>
    </w:p>
    <w:p>
      <w:pPr>
        <w:pStyle w:val="CaptionedFigure"/>
      </w:pPr>
      <w:r>
        <w:drawing>
          <wp:inline>
            <wp:extent cx="5334000" cy="3267075"/>
            <wp:effectExtent b="0" l="0" r="0" t="0"/>
            <wp:docPr descr="Pantalla de acceso" title="" id="26" name="Picture"/>
            <a:graphic>
              <a:graphicData uri="http://schemas.openxmlformats.org/drawingml/2006/picture">
                <pic:pic>
                  <pic:nvPicPr>
                    <pic:cNvPr descr="assets/studio/01-login-studio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Pantalla de acceso</w:t>
      </w:r>
    </w:p>
    <w:p>
      <w:pPr>
        <w:pStyle w:val="BodyText"/>
      </w:pPr>
      <w:r>
        <w:t xml:space="preserve">Vista principal de cursos</w:t>
      </w:r>
    </w:p>
    <w:p>
      <w:pPr>
        <w:pStyle w:val="CaptionedFigure"/>
      </w:pPr>
      <w:r>
        <w:drawing>
          <wp:inline>
            <wp:extent cx="5334000" cy="3267075"/>
            <wp:effectExtent b="0" l="0" r="0" t="0"/>
            <wp:docPr descr="Dashboard de cursos" title="" id="29" name="Picture"/>
            <a:graphic>
              <a:graphicData uri="http://schemas.openxmlformats.org/drawingml/2006/picture">
                <pic:pic>
                  <pic:nvPicPr>
                    <pic:cNvPr descr="assets/studio/02-dashboard-cursos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Dashboard de cursos</w:t>
      </w:r>
    </w:p>
    <w:p>
      <w:pPr>
        <w:pStyle w:val="BodyText"/>
      </w:pPr>
      <w:r>
        <w:t xml:space="preserve">Editor de lección con bloques</w:t>
      </w:r>
    </w:p>
    <w:p>
      <w:pPr>
        <w:pStyle w:val="CaptionedFigure"/>
      </w:pPr>
      <w:r>
        <w:drawing>
          <wp:inline>
            <wp:extent cx="5334000" cy="7970996"/>
            <wp:effectExtent b="0" l="0" r="0" t="0"/>
            <wp:docPr descr="Editor de leccion" title="" id="32" name="Picture"/>
            <a:graphic>
              <a:graphicData uri="http://schemas.openxmlformats.org/drawingml/2006/picture">
                <pic:pic>
                  <pic:nvPicPr>
                    <pic:cNvPr descr="assets/studio/03-editor-leccion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970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Editor de leccion</w:t>
      </w:r>
    </w:p>
    <w:p>
      <w:pPr>
        <w:pStyle w:val="BodyText"/>
      </w:pPr>
      <w:r>
        <w:t xml:space="preserve">Banco de preguntas y filtros</w:t>
      </w:r>
    </w:p>
    <w:p>
      <w:pPr>
        <w:pStyle w:val="CaptionedFigure"/>
      </w:pPr>
      <w:r>
        <w:drawing>
          <wp:inline>
            <wp:extent cx="5334000" cy="3000375"/>
            <wp:effectExtent b="0" l="0" r="0" t="0"/>
            <wp:docPr descr="Banco de preguntas" title="" id="35" name="Picture"/>
            <a:graphic>
              <a:graphicData uri="http://schemas.openxmlformats.org/drawingml/2006/picture">
                <pic:pic>
                  <pic:nvPicPr>
                    <pic:cNvPr descr="assets/studio/04-banco-preguntas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Banco de preguntas</w:t>
      </w:r>
    </w:p>
    <w:p>
      <w:pPr>
        <w:pStyle w:val="BodyText"/>
      </w:pPr>
      <w:r>
        <w:t xml:space="preserve">Librería de recursos</w:t>
      </w:r>
    </w:p>
    <w:p>
      <w:pPr>
        <w:pStyle w:val="CaptionedFigure"/>
      </w:pPr>
      <w:r>
        <w:drawing>
          <wp:inline>
            <wp:extent cx="5334000" cy="13885068"/>
            <wp:effectExtent b="0" l="0" r="0" t="0"/>
            <wp:docPr descr="Libreria de assets" title="" id="38" name="Picture"/>
            <a:graphic>
              <a:graphicData uri="http://schemas.openxmlformats.org/drawingml/2006/picture">
                <pic:pic>
                  <pic:nvPicPr>
                    <pic:cNvPr descr="assets/studio/05-library-assets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885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Libreria de assets</w:t>
      </w:r>
    </w:p>
    <w:p>
      <w:pPr>
        <w:pStyle w:val="BodyText"/>
      </w:pPr>
      <w:r>
        <w:t xml:space="preserve">Editor de rúbricas</w:t>
      </w:r>
    </w:p>
    <w:p>
      <w:pPr>
        <w:pStyle w:val="CaptionedFigure"/>
      </w:pPr>
      <w:r>
        <w:drawing>
          <wp:inline>
            <wp:extent cx="5334000" cy="3267075"/>
            <wp:effectExtent b="0" l="0" r="0" t="0"/>
            <wp:docPr descr="Rubricas" title="" id="41" name="Picture"/>
            <a:graphic>
              <a:graphicData uri="http://schemas.openxmlformats.org/drawingml/2006/picture">
                <pic:pic>
                  <pic:nvPicPr>
                    <pic:cNvPr descr="assets/studio/06-rubricas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Rubricas</w:t>
      </w:r>
    </w:p>
    <w:p>
      <w:pPr>
        <w:pStyle w:val="BodyText"/>
      </w:pPr>
      <w:r>
        <w:t xml:space="preserve">Administración de usuarios</w:t>
      </w:r>
    </w:p>
    <w:p>
      <w:pPr>
        <w:pStyle w:val="CaptionedFigure"/>
      </w:pPr>
      <w:r>
        <w:drawing>
          <wp:inline>
            <wp:extent cx="5334000" cy="3267075"/>
            <wp:effectExtent b="0" l="0" r="0" t="0"/>
            <wp:docPr descr="Administracion de usuarios" title="" id="44" name="Picture"/>
            <a:graphic>
              <a:graphicData uri="http://schemas.openxmlformats.org/drawingml/2006/picture">
                <pic:pic>
                  <pic:nvPicPr>
                    <pic:cNvPr descr="assets/studio/07-admin-usuarios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Administracion de usuarios</w:t>
      </w:r>
    </w:p>
    <w:bookmarkEnd w:id="46"/>
    <w:bookmarkStart w:id="47" w:name="mensaje-comercial-breve"/>
    <w:p>
      <w:pPr>
        <w:pStyle w:val="Heading2"/>
      </w:pPr>
      <w:r>
        <w:t xml:space="preserve">7) Mensaje comercial breve</w:t>
      </w:r>
    </w:p>
    <w:p>
      <w:pPr>
        <w:pStyle w:val="FirstParagraph"/>
      </w:pPr>
      <w:r>
        <w:t xml:space="preserve">Studio convierte el diseño académico en un proceso más rápido, controlado y escalable. Permite a la institución pasar de la idea al curso publicado con calidad pedagógica y consistencia operacional.</w:t>
      </w:r>
    </w:p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2026-04-09T18:18:49Z</dcterms:created>
  <dcterms:modified xsi:type="dcterms:W3CDTF">2026-04-09T18:18:49Z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